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大学生心理咨询与心理治疗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T1-2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了解高校心理咨询、心理治疗的性质、方法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熟悉高校心理咨询的内容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明确高校心理治疗的性质与使用范围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能正确认识和理解高校心理咨询、心理治疗；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熟练应用焦虑自评量表 SAS，并能根据测试结果了解自身焦虑程度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能根据自身需求，增强主动寻求心理咨询和治疗的意识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拓宽自助、助人的途径和方式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提高大学生心理健康素养，传播自尊自信、乐观向上的现代文明理念和心理健康意识，培育良好社会心态。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高校心理咨询的原则及形式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了解高校心理治疗的性质与适用范围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高校心理治疗常用的方法（简答题）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心理实训：数数你的“不适应”</w:t>
            </w:r>
            <w:r>
              <w:rPr>
                <w:rFonts w:hint="eastAsia" w:eastAsia="宋体"/>
                <w:lang w:val="en-US" w:eastAsia="zh-CN"/>
              </w:rPr>
              <w:t>。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bookmarkStart w:id="0" w:name="_GoBack"/>
            <w:r>
              <w:rPr>
                <w:rFonts w:hint="eastAsia" w:eastAsia="宋体"/>
                <w:lang w:val="en-US" w:eastAsia="zh-CN"/>
              </w:rPr>
              <w:t>记录本、学生名单</w:t>
            </w:r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何为心理咨询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通过提问，引入心理咨询的概念。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通过学生的回答，引导其建立对心理咨询是科学的感受。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eastAsia="zh-CN"/>
              </w:rPr>
              <w:t>对心理咨询的五个误区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学生分小组对某一分支进行了解，并发言。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了解心理案例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去心理咨询室的顾虑（讲解）；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学生解说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eastAsia="zh-CN"/>
              </w:rPr>
              <w:t>最好的安慰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阅读材料，回答：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我从材料中看到了什么？（写两条在课本上）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大学生心理咨询与心理治疗的任务及内容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教师提问大学生心理健康问题有？学生回应，教师引出课程内容。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教师提问：如何才能解决大学生心理健康问题，学生回应。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高校心理咨询的技巧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高校心理治疗常用的方法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，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大学生心理咨询与心理治疗（一）</w:t>
            </w:r>
          </w:p>
          <w:p>
            <w:r>
              <w:rPr>
                <w:rFonts w:hint="eastAsia" w:eastAsia="宋体"/>
                <w:lang w:eastAsia="zh-CN"/>
              </w:rPr>
              <w:t>心理咨询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学生阅读并讨论；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高校心理咨询的程序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学生思考并回应问题——高校心理咨询的程序有哪些？</w:t>
            </w:r>
          </w:p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大学生心理咨询与心理治疗（二）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心理治疗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高校心理治疗的性质与适用范围；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心理治疗与心理咨询的关系</w:t>
            </w:r>
            <w:r>
              <w:rPr>
                <w:rFonts w:hint="eastAsia" w:eastAsia="宋体"/>
                <w:lang w:val="en-US" w:eastAsia="zh-CN"/>
              </w:rPr>
              <w:t>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在赏识教育中，老师和学生的关系是平等的，教师在学生面前不是一位不可冒犯的权威，学生也不是唯命是从的卑微者。师生只有建立民主平等的关系，学生才有了安全感，才能充满信心，思维才有可能被激活，才可能敢于提出问题，敢于质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有的学生不能积极的参与到小组活动中。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通过扩大教学活动范围，增强互动性。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85A0EA5"/>
    <w:rsid w:val="18772AC0"/>
    <w:rsid w:val="18FE651F"/>
    <w:rsid w:val="1CC32C25"/>
    <w:rsid w:val="1D656A1C"/>
    <w:rsid w:val="2004579B"/>
    <w:rsid w:val="202C1C61"/>
    <w:rsid w:val="22052732"/>
    <w:rsid w:val="242359DA"/>
    <w:rsid w:val="24537CFC"/>
    <w:rsid w:val="24810FCF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8BB636D"/>
    <w:rsid w:val="5A771928"/>
    <w:rsid w:val="5D610A57"/>
    <w:rsid w:val="5F8F38A4"/>
    <w:rsid w:val="60961F93"/>
    <w:rsid w:val="623F67F8"/>
    <w:rsid w:val="626C21B1"/>
    <w:rsid w:val="64B27C5F"/>
    <w:rsid w:val="664427B8"/>
    <w:rsid w:val="68412BDD"/>
    <w:rsid w:val="69674B08"/>
    <w:rsid w:val="6AE52463"/>
    <w:rsid w:val="6B4333F1"/>
    <w:rsid w:val="71404B12"/>
    <w:rsid w:val="72EE3683"/>
    <w:rsid w:val="73191F6E"/>
    <w:rsid w:val="732E1C78"/>
    <w:rsid w:val="73A31A33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1338</Words>
  <Characters>1761</Characters>
  <TotalTime>195</TotalTime>
  <ScaleCrop>false</ScaleCrop>
  <LinksUpToDate>false</LinksUpToDate>
  <CharactersWithSpaces>1819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2023-05-11T05:18:03Z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A4EAE4E51C8342BB8E5B0B4A563C1B5C_13</vt:lpwstr>
  </property>
</Properties>
</file>